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E9FD6" w14:textId="11F3889E" w:rsidR="00285201" w:rsidRPr="005D1A00" w:rsidRDefault="00BE3569" w:rsidP="0041649D">
      <w:pPr>
        <w:jc w:val="center"/>
      </w:pPr>
      <w:r w:rsidRPr="005D1A00">
        <w:rPr>
          <w:b/>
          <w:noProof/>
        </w:rPr>
        <w:drawing>
          <wp:inline distT="0" distB="0" distL="0" distR="0" wp14:anchorId="2EFF2031" wp14:editId="26B5832D">
            <wp:extent cx="1711036" cy="184632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years-logo.jpg"/>
                    <pic:cNvPicPr/>
                  </pic:nvPicPr>
                  <pic:blipFill>
                    <a:blip r:embed="rId6">
                      <a:extLst>
                        <a:ext uri="{28A0092B-C50C-407E-A947-70E740481C1C}">
                          <a14:useLocalDpi xmlns:a14="http://schemas.microsoft.com/office/drawing/2010/main" val="0"/>
                        </a:ext>
                      </a:extLst>
                    </a:blip>
                    <a:stretch>
                      <a:fillRect/>
                    </a:stretch>
                  </pic:blipFill>
                  <pic:spPr>
                    <a:xfrm>
                      <a:off x="0" y="0"/>
                      <a:ext cx="1735746" cy="1872990"/>
                    </a:xfrm>
                    <a:prstGeom prst="rect">
                      <a:avLst/>
                    </a:prstGeom>
                  </pic:spPr>
                </pic:pic>
              </a:graphicData>
            </a:graphic>
          </wp:inline>
        </w:drawing>
      </w:r>
    </w:p>
    <w:p w14:paraId="6084D72B" w14:textId="46CCCD12" w:rsidR="0092697E" w:rsidRPr="005D1A00" w:rsidRDefault="00A81ABB">
      <w:r>
        <w:t>Mr. Ray Ryan, Chairman</w:t>
      </w:r>
      <w:r w:rsidR="00BE3569" w:rsidRPr="005D1A00">
        <w:t xml:space="preserve"> </w:t>
      </w:r>
      <w:r w:rsidR="00BE3569" w:rsidRPr="005D1A00">
        <w:br/>
        <w:t>Amador County Planning Commission</w:t>
      </w:r>
      <w:r w:rsidR="00BE3569" w:rsidRPr="005D1A00">
        <w:br/>
        <w:t xml:space="preserve">810 Court St </w:t>
      </w:r>
      <w:r w:rsidR="00BE3569" w:rsidRPr="005D1A00">
        <w:br/>
        <w:t>Jackson, CA 95642</w:t>
      </w:r>
    </w:p>
    <w:p w14:paraId="4A223B58" w14:textId="1E4B846D" w:rsidR="00BE3569" w:rsidRPr="005D1A00" w:rsidRDefault="00BE3569"/>
    <w:p w14:paraId="5223FAD3" w14:textId="10031BDA" w:rsidR="00BE3569" w:rsidRPr="005D1A00" w:rsidRDefault="00BE3569">
      <w:r w:rsidRPr="005D1A00">
        <w:t>May 2</w:t>
      </w:r>
      <w:r w:rsidR="00CF6E6A">
        <w:t>7</w:t>
      </w:r>
      <w:r w:rsidRPr="005D1A00">
        <w:t>, 2020</w:t>
      </w:r>
      <w:r w:rsidRPr="005D1A00">
        <w:br/>
        <w:t>By e-mail transmittal</w:t>
      </w:r>
    </w:p>
    <w:p w14:paraId="099BE075" w14:textId="3BFEAF29" w:rsidR="00BE3569" w:rsidRPr="005D1A00" w:rsidRDefault="00BE3569"/>
    <w:p w14:paraId="636B9C8B" w14:textId="01BCE013" w:rsidR="0092697E" w:rsidRDefault="00BE3569">
      <w:r w:rsidRPr="005D1A00">
        <w:t xml:space="preserve">Re:  </w:t>
      </w:r>
      <w:r w:rsidR="0092697E" w:rsidRPr="005D1A00">
        <w:t>Proliferation of Event Centers and Tasting Rooms on R1A parcels</w:t>
      </w:r>
    </w:p>
    <w:p w14:paraId="45ECF6CB" w14:textId="2EC4A4F0" w:rsidR="00A81ABB" w:rsidRDefault="00A81ABB"/>
    <w:p w14:paraId="48F857D7" w14:textId="4A14283E" w:rsidR="00A81ABB" w:rsidRPr="005D1A00" w:rsidRDefault="00A81ABB">
      <w:r>
        <w:t xml:space="preserve">Dear Chairman Ryan and Members of the </w:t>
      </w:r>
      <w:r w:rsidR="005F47EC">
        <w:t>Commission</w:t>
      </w:r>
      <w:r>
        <w:t>:</w:t>
      </w:r>
    </w:p>
    <w:p w14:paraId="1875C744" w14:textId="77777777" w:rsidR="0092697E" w:rsidRPr="005D1A00" w:rsidRDefault="0092697E"/>
    <w:p w14:paraId="40532796" w14:textId="68C7F738" w:rsidR="0094200E" w:rsidRPr="005D1A00" w:rsidRDefault="00285201">
      <w:r w:rsidRPr="005D1A00">
        <w:t xml:space="preserve">There </w:t>
      </w:r>
      <w:r w:rsidR="00D766BF">
        <w:t>has been</w:t>
      </w:r>
      <w:r w:rsidRPr="005D1A00">
        <w:t xml:space="preserve"> a substantial recent i</w:t>
      </w:r>
      <w:r w:rsidR="0094200E" w:rsidRPr="005D1A00">
        <w:t xml:space="preserve">ncrease in applications for </w:t>
      </w:r>
      <w:r w:rsidR="00BD47AB" w:rsidRPr="005D1A00">
        <w:t>c</w:t>
      </w:r>
      <w:r w:rsidRPr="005D1A00">
        <w:t xml:space="preserve">onditional </w:t>
      </w:r>
      <w:r w:rsidR="00BD47AB" w:rsidRPr="005D1A00">
        <w:t>u</w:t>
      </w:r>
      <w:r w:rsidRPr="005D1A00">
        <w:t xml:space="preserve">se </w:t>
      </w:r>
      <w:r w:rsidR="00BD47AB" w:rsidRPr="005D1A00">
        <w:t>p</w:t>
      </w:r>
      <w:r w:rsidRPr="005D1A00">
        <w:t>ermits to allow</w:t>
      </w:r>
      <w:r w:rsidR="0094200E" w:rsidRPr="005D1A00">
        <w:t xml:space="preserve"> tasting rooms in</w:t>
      </w:r>
      <w:r w:rsidRPr="005D1A00">
        <w:t xml:space="preserve"> conjunction with winemaking facilities on</w:t>
      </w:r>
      <w:r w:rsidR="0094200E" w:rsidRPr="005D1A00">
        <w:t xml:space="preserve"> R1A</w:t>
      </w:r>
      <w:r w:rsidR="00582BD0" w:rsidRPr="005D1A00">
        <w:t>-</w:t>
      </w:r>
      <w:r w:rsidR="0094200E" w:rsidRPr="005D1A00">
        <w:t>zoned parcels.</w:t>
      </w:r>
      <w:r w:rsidR="002E2B83" w:rsidRPr="005D1A00">
        <w:t xml:space="preserve"> From 2006 through 2016 (11 years), the county approved a total of nine </w:t>
      </w:r>
      <w:r w:rsidR="00D766BF">
        <w:t>such</w:t>
      </w:r>
      <w:r w:rsidR="002E2B83" w:rsidRPr="005D1A00">
        <w:t xml:space="preserve"> tasting rooms. In the past year alone, there have been multiple applications for tasting rooms on R1A-zoned parcels. One of these was approved at </w:t>
      </w:r>
      <w:r w:rsidR="00BD47AB" w:rsidRPr="005D1A00">
        <w:t xml:space="preserve">your </w:t>
      </w:r>
      <w:r w:rsidR="002E2B83" w:rsidRPr="005D1A00">
        <w:t xml:space="preserve">May 12 </w:t>
      </w:r>
      <w:r w:rsidR="00DE6A00">
        <w:t xml:space="preserve">Commission </w:t>
      </w:r>
      <w:r w:rsidR="002E2B83" w:rsidRPr="005D1A00">
        <w:t xml:space="preserve">meeting, and three more are to be considered at </w:t>
      </w:r>
      <w:r w:rsidR="00BD47AB" w:rsidRPr="005D1A00">
        <w:t xml:space="preserve">your </w:t>
      </w:r>
      <w:r w:rsidR="002E2B83" w:rsidRPr="005D1A00">
        <w:t xml:space="preserve">June </w:t>
      </w:r>
      <w:r w:rsidR="00792985">
        <w:t>9</w:t>
      </w:r>
      <w:r w:rsidR="002E2B83" w:rsidRPr="005D1A00">
        <w:t xml:space="preserve"> meeting.</w:t>
      </w:r>
    </w:p>
    <w:p w14:paraId="4BC35AAA" w14:textId="207A1C01" w:rsidR="002E2B83" w:rsidRPr="005D1A00" w:rsidRDefault="002E2B83"/>
    <w:p w14:paraId="07910997" w14:textId="0A9A0951" w:rsidR="002E2B83" w:rsidRPr="005D1A00" w:rsidRDefault="002E2B83">
      <w:r w:rsidRPr="005D1A00">
        <w:t xml:space="preserve">We are concerned that these applications are being approved without </w:t>
      </w:r>
      <w:r w:rsidR="00DE6A00">
        <w:t>adequate and</w:t>
      </w:r>
      <w:r w:rsidR="00A81ABB">
        <w:t xml:space="preserve"> legally required </w:t>
      </w:r>
      <w:r w:rsidRPr="005D1A00">
        <w:t xml:space="preserve">consideration of </w:t>
      </w:r>
      <w:r w:rsidR="00BE3569" w:rsidRPr="005D1A00">
        <w:t xml:space="preserve">their </w:t>
      </w:r>
      <w:r w:rsidRPr="005D1A00">
        <w:t>environmental impacts (noise, traffic, light</w:t>
      </w:r>
      <w:r w:rsidR="00D766BF" w:rsidRPr="00D766BF">
        <w:t xml:space="preserve"> </w:t>
      </w:r>
      <w:r w:rsidR="00D766BF" w:rsidRPr="005D1A00">
        <w:t>and glare</w:t>
      </w:r>
      <w:r w:rsidR="00BD47AB" w:rsidRPr="005D1A00">
        <w:t>, emergency services, water</w:t>
      </w:r>
      <w:r w:rsidRPr="005D1A00">
        <w:t>), economic impact</w:t>
      </w:r>
      <w:r w:rsidR="00132A8B" w:rsidRPr="005D1A00">
        <w:t>s</w:t>
      </w:r>
      <w:r w:rsidRPr="005D1A00">
        <w:t xml:space="preserve"> (effect on the viability of established wineries</w:t>
      </w:r>
      <w:r w:rsidR="00132A8B" w:rsidRPr="005D1A00">
        <w:t xml:space="preserve"> and other businesses</w:t>
      </w:r>
      <w:r w:rsidRPr="005D1A00">
        <w:t xml:space="preserve"> in the county), impacts on the quality of life of neighboring residents</w:t>
      </w:r>
      <w:r w:rsidR="00BD47AB" w:rsidRPr="005D1A00">
        <w:t>, and the likelihood of converting agricultural lands to commercial uses.</w:t>
      </w:r>
      <w:r w:rsidRPr="005D1A00">
        <w:t xml:space="preserve"> We are especially concerned that cumulative environmental impacts are not being addressed, as required </w:t>
      </w:r>
      <w:r w:rsidR="00A81ABB">
        <w:t>by</w:t>
      </w:r>
      <w:r w:rsidR="00A81ABB" w:rsidRPr="005D1A00">
        <w:t xml:space="preserve"> </w:t>
      </w:r>
      <w:r w:rsidR="00BD47AB" w:rsidRPr="005D1A00">
        <w:t>the California Environmental Quality Act</w:t>
      </w:r>
      <w:r w:rsidRPr="005D1A00">
        <w:t>.</w:t>
      </w:r>
      <w:r w:rsidR="00132A8B" w:rsidRPr="005D1A00">
        <w:t xml:space="preserve"> </w:t>
      </w:r>
    </w:p>
    <w:p w14:paraId="3716761A" w14:textId="73BD9BB5" w:rsidR="00644528" w:rsidRPr="005D1A00" w:rsidRDefault="00644528"/>
    <w:p w14:paraId="1D1EDE60" w14:textId="77777777" w:rsidR="005D1A00" w:rsidRPr="0041649D" w:rsidRDefault="005D1A00">
      <w:pPr>
        <w:rPr>
          <w:b/>
        </w:rPr>
      </w:pPr>
      <w:r w:rsidRPr="0041649D">
        <w:rPr>
          <w:b/>
        </w:rPr>
        <w:t>All projects are not created equal</w:t>
      </w:r>
    </w:p>
    <w:p w14:paraId="442385AD" w14:textId="77777777" w:rsidR="005D1A00" w:rsidRPr="005D1A00" w:rsidRDefault="005D1A00"/>
    <w:p w14:paraId="1E41ED6E" w14:textId="4FEDB00E" w:rsidR="001331AC" w:rsidRDefault="00644528">
      <w:r w:rsidRPr="005D1A00">
        <w:t>Some of the recent applications are for small, relatively discre</w:t>
      </w:r>
      <w:r w:rsidR="00BD47AB" w:rsidRPr="005D1A00">
        <w:t>t</w:t>
      </w:r>
      <w:r w:rsidRPr="005D1A00">
        <w:t>e tasting rooms, with applicants requesting permission to hold fewer functions than could be legally permitted</w:t>
      </w:r>
      <w:r w:rsidR="007E40C7">
        <w:t xml:space="preserve"> under existing code</w:t>
      </w:r>
      <w:r w:rsidRPr="005D1A00">
        <w:t>. Others appear to be full-blown</w:t>
      </w:r>
      <w:r w:rsidR="00CC233F" w:rsidRPr="005D1A00">
        <w:t>, commercial</w:t>
      </w:r>
      <w:r w:rsidRPr="005D1A00">
        <w:t xml:space="preserve"> </w:t>
      </w:r>
      <w:r w:rsidR="00CC233F" w:rsidRPr="005D1A00">
        <w:t>e</w:t>
      </w:r>
      <w:r w:rsidRPr="005D1A00">
        <w:t xml:space="preserve">vent </w:t>
      </w:r>
      <w:r w:rsidR="00CC233F" w:rsidRPr="005D1A00">
        <w:t>c</w:t>
      </w:r>
      <w:r w:rsidRPr="005D1A00">
        <w:t xml:space="preserve">enters masquerading as tasting rooms. </w:t>
      </w:r>
    </w:p>
    <w:p w14:paraId="0AEF1C8B" w14:textId="77777777" w:rsidR="001331AC" w:rsidRDefault="001331AC"/>
    <w:p w14:paraId="0ECDCDF1" w14:textId="3DD2E00F" w:rsidR="00AB79EA" w:rsidRPr="005D1A00" w:rsidRDefault="00644528">
      <w:r w:rsidRPr="005D1A00">
        <w:lastRenderedPageBreak/>
        <w:t xml:space="preserve">Ard Aven, for example, has requested permission to </w:t>
      </w:r>
      <w:r w:rsidR="002F00CD" w:rsidRPr="005D1A00">
        <w:t xml:space="preserve">have a tasting room open three days per week from 10 am to 5 pm and </w:t>
      </w:r>
      <w:r w:rsidRPr="005D1A00">
        <w:t>hold a modest four tasting events per year</w:t>
      </w:r>
      <w:r w:rsidR="00CC233F" w:rsidRPr="005D1A00">
        <w:t xml:space="preserve"> with from</w:t>
      </w:r>
      <w:r w:rsidRPr="005D1A00">
        <w:t xml:space="preserve"> </w:t>
      </w:r>
      <w:r w:rsidR="00CC233F" w:rsidRPr="005D1A00">
        <w:t>one</w:t>
      </w:r>
      <w:r w:rsidRPr="005D1A00">
        <w:t xml:space="preserve"> to 49 participants</w:t>
      </w:r>
      <w:r w:rsidR="002F00CD" w:rsidRPr="005D1A00">
        <w:t xml:space="preserve">. Compare that with Blood Gulch, which is requesting permission to operate a tasting room with up to </w:t>
      </w:r>
      <w:r w:rsidR="002F00CD" w:rsidRPr="005D1A00">
        <w:rPr>
          <w:b/>
        </w:rPr>
        <w:t xml:space="preserve">350 visitors per day from 10 am to 10 pm </w:t>
      </w:r>
      <w:r w:rsidR="00285201" w:rsidRPr="005D1A00">
        <w:rPr>
          <w:b/>
        </w:rPr>
        <w:t>daily</w:t>
      </w:r>
      <w:r w:rsidR="002F00CD" w:rsidRPr="005D1A00">
        <w:rPr>
          <w:b/>
        </w:rPr>
        <w:t>, plus special events with up to 125 participants three times per week</w:t>
      </w:r>
      <w:r w:rsidR="00285201" w:rsidRPr="005D1A00">
        <w:rPr>
          <w:b/>
        </w:rPr>
        <w:t>,</w:t>
      </w:r>
      <w:r w:rsidR="002F00CD" w:rsidRPr="005D1A00">
        <w:rPr>
          <w:b/>
        </w:rPr>
        <w:t xml:space="preserve"> a</w:t>
      </w:r>
      <w:r w:rsidR="00285201" w:rsidRPr="005D1A00">
        <w:rPr>
          <w:b/>
        </w:rPr>
        <w:t>s well as</w:t>
      </w:r>
      <w:r w:rsidR="002F00CD" w:rsidRPr="005D1A00">
        <w:rPr>
          <w:b/>
        </w:rPr>
        <w:t xml:space="preserve"> </w:t>
      </w:r>
      <w:r w:rsidR="00285201" w:rsidRPr="005D1A00">
        <w:rPr>
          <w:b/>
        </w:rPr>
        <w:t xml:space="preserve">12 </w:t>
      </w:r>
      <w:r w:rsidR="002F00CD" w:rsidRPr="005D1A00">
        <w:rPr>
          <w:b/>
        </w:rPr>
        <w:t xml:space="preserve">events </w:t>
      </w:r>
      <w:r w:rsidR="00285201" w:rsidRPr="005D1A00">
        <w:rPr>
          <w:b/>
        </w:rPr>
        <w:t xml:space="preserve">per year </w:t>
      </w:r>
      <w:r w:rsidR="002F00CD" w:rsidRPr="005D1A00">
        <w:rPr>
          <w:b/>
        </w:rPr>
        <w:t>with up to 450 participants</w:t>
      </w:r>
      <w:r w:rsidR="00285201" w:rsidRPr="005D1A00">
        <w:rPr>
          <w:b/>
        </w:rPr>
        <w:t xml:space="preserve"> (no more than 4 per month)</w:t>
      </w:r>
      <w:r w:rsidR="00285201" w:rsidRPr="005D1A00">
        <w:t xml:space="preserve">. Clearly the latter application is for a major </w:t>
      </w:r>
      <w:r w:rsidR="00CC233F" w:rsidRPr="005D1A00">
        <w:t>e</w:t>
      </w:r>
      <w:r w:rsidR="00285201" w:rsidRPr="005D1A00">
        <w:t xml:space="preserve">vent </w:t>
      </w:r>
      <w:r w:rsidR="00CC233F" w:rsidRPr="005D1A00">
        <w:t>c</w:t>
      </w:r>
      <w:r w:rsidR="00285201" w:rsidRPr="005D1A00">
        <w:t xml:space="preserve">enter, not </w:t>
      </w:r>
      <w:r w:rsidR="007E40C7">
        <w:t xml:space="preserve">simply </w:t>
      </w:r>
      <w:r w:rsidR="00285201" w:rsidRPr="005D1A00">
        <w:t xml:space="preserve">an adjunct tasting room intended to introduce customers to wine produced by the proprietors. </w:t>
      </w:r>
    </w:p>
    <w:p w14:paraId="3C577062" w14:textId="77777777" w:rsidR="00AB79EA" w:rsidRPr="005D1A00" w:rsidRDefault="00AB79EA"/>
    <w:p w14:paraId="4C0B6DE8" w14:textId="649AE995" w:rsidR="00644528" w:rsidRPr="005D1A00" w:rsidRDefault="00285201">
      <w:r w:rsidRPr="005D1A00">
        <w:t xml:space="preserve">Yet, all of these applications seem to receive the same </w:t>
      </w:r>
      <w:r w:rsidR="00D766BF">
        <w:t xml:space="preserve">review process and </w:t>
      </w:r>
      <w:r w:rsidRPr="005D1A00">
        <w:t xml:space="preserve">level of scrutiny from the </w:t>
      </w:r>
      <w:r w:rsidR="00AB79EA" w:rsidRPr="005D1A00">
        <w:t xml:space="preserve">Amador County Technical Advisory Committee </w:t>
      </w:r>
      <w:r w:rsidRPr="005D1A00">
        <w:t xml:space="preserve">and </w:t>
      </w:r>
      <w:r w:rsidR="00AB79EA" w:rsidRPr="005D1A00">
        <w:t xml:space="preserve">at times, </w:t>
      </w:r>
      <w:r w:rsidRPr="005D1A00">
        <w:t>the Planning Commission, sliding through on CEQA checklist</w:t>
      </w:r>
      <w:r w:rsidR="00A81ABB">
        <w:t>s</w:t>
      </w:r>
      <w:r w:rsidRPr="005D1A00">
        <w:t xml:space="preserve"> </w:t>
      </w:r>
      <w:r w:rsidR="00A81ABB">
        <w:t>and initial studies that indicate</w:t>
      </w:r>
      <w:r w:rsidRPr="005D1A00">
        <w:t xml:space="preserve"> no </w:t>
      </w:r>
      <w:r w:rsidR="00AB79EA" w:rsidRPr="005D1A00">
        <w:t xml:space="preserve">potentially </w:t>
      </w:r>
      <w:r w:rsidRPr="005D1A00">
        <w:t>significant impacts</w:t>
      </w:r>
      <w:r w:rsidR="00AB79EA" w:rsidRPr="005D1A00">
        <w:t xml:space="preserve"> based on conclusory comments </w:t>
      </w:r>
      <w:r w:rsidR="00132A8B" w:rsidRPr="005D1A00">
        <w:t xml:space="preserve">that are </w:t>
      </w:r>
      <w:r w:rsidR="00AB79EA" w:rsidRPr="005D1A00">
        <w:t xml:space="preserve">not backed up by </w:t>
      </w:r>
      <w:r w:rsidR="002A4E7F">
        <w:t>any data or</w:t>
      </w:r>
      <w:r w:rsidR="00DE6A00">
        <w:t xml:space="preserve"> </w:t>
      </w:r>
      <w:r w:rsidR="00AB79EA" w:rsidRPr="005D1A00">
        <w:t>substantial evidence</w:t>
      </w:r>
      <w:r w:rsidRPr="005D1A00">
        <w:t xml:space="preserve">. How is it possible that facilities with such obviously different levels of </w:t>
      </w:r>
      <w:r w:rsidR="00D766BF">
        <w:t xml:space="preserve">intensity and potential </w:t>
      </w:r>
      <w:r w:rsidRPr="005D1A00">
        <w:t>impact are treated identically</w:t>
      </w:r>
      <w:r w:rsidR="00D766BF">
        <w:t xml:space="preserve"> </w:t>
      </w:r>
      <w:r w:rsidRPr="005D1A00">
        <w:t xml:space="preserve">with regard to economic impacts, quality of life impacts on neighbors, or cumulative environmental impacts (noise, traffic, sensitive receptors, light and glare, air quality, </w:t>
      </w:r>
      <w:r w:rsidR="00AB79EA" w:rsidRPr="005D1A00">
        <w:t xml:space="preserve">water supply, emergency services, </w:t>
      </w:r>
      <w:r w:rsidRPr="005D1A00">
        <w:t>etc.)?</w:t>
      </w:r>
    </w:p>
    <w:p w14:paraId="32EBF805" w14:textId="77777777" w:rsidR="0094200E" w:rsidRPr="005D1A00" w:rsidRDefault="0094200E"/>
    <w:p w14:paraId="1D477679" w14:textId="33E1755D" w:rsidR="005D1A00" w:rsidRPr="0041649D" w:rsidRDefault="005D1A00">
      <w:pPr>
        <w:rPr>
          <w:b/>
        </w:rPr>
      </w:pPr>
      <w:r w:rsidRPr="0041649D">
        <w:rPr>
          <w:b/>
        </w:rPr>
        <w:t xml:space="preserve">Level of CEQA review must </w:t>
      </w:r>
      <w:r w:rsidR="007260E9">
        <w:rPr>
          <w:b/>
        </w:rPr>
        <w:t>consider</w:t>
      </w:r>
      <w:r w:rsidRPr="0041649D">
        <w:rPr>
          <w:b/>
        </w:rPr>
        <w:t xml:space="preserve"> mandatory findings of significance, including cumulative impacts</w:t>
      </w:r>
      <w:r>
        <w:rPr>
          <w:b/>
        </w:rPr>
        <w:t xml:space="preserve"> to satisfy zoning code requirements and state law</w:t>
      </w:r>
    </w:p>
    <w:p w14:paraId="557874D8" w14:textId="77777777" w:rsidR="005D1A00" w:rsidRPr="005D1A00" w:rsidRDefault="005D1A00"/>
    <w:p w14:paraId="285AA08C" w14:textId="4867BC03" w:rsidR="00132A8B" w:rsidRPr="005D1A00" w:rsidRDefault="00582BD0">
      <w:r w:rsidRPr="005D1A00">
        <w:t xml:space="preserve">We </w:t>
      </w:r>
      <w:r w:rsidR="005D1A00" w:rsidRPr="005D1A00">
        <w:t xml:space="preserve">believe </w:t>
      </w:r>
      <w:r w:rsidRPr="005D1A00">
        <w:t xml:space="preserve">that Mitigated Negative Declarations </w:t>
      </w:r>
      <w:r w:rsidR="00132A8B" w:rsidRPr="005D1A00">
        <w:t xml:space="preserve">often </w:t>
      </w:r>
      <w:r w:rsidRPr="005D1A00">
        <w:t xml:space="preserve">are not </w:t>
      </w:r>
      <w:r w:rsidR="00AB79EA" w:rsidRPr="005D1A00">
        <w:t xml:space="preserve">legally adequate </w:t>
      </w:r>
      <w:r w:rsidRPr="005D1A00">
        <w:t>for major event centers</w:t>
      </w:r>
      <w:r w:rsidR="002A4E7F">
        <w:t xml:space="preserve"> like</w:t>
      </w:r>
      <w:r w:rsidR="001331AC">
        <w:t xml:space="preserve"> Blood Gulch</w:t>
      </w:r>
      <w:r w:rsidRPr="005D1A00">
        <w:t>. T</w:t>
      </w:r>
      <w:r w:rsidR="00AB79EA" w:rsidRPr="005D1A00">
        <w:t>he county should require t</w:t>
      </w:r>
      <w:r w:rsidRPr="005D1A00">
        <w:t>raffic studies,</w:t>
      </w:r>
      <w:r w:rsidR="00AB79EA" w:rsidRPr="005D1A00">
        <w:t xml:space="preserve"> analyses of</w:t>
      </w:r>
      <w:r w:rsidRPr="005D1A00">
        <w:t xml:space="preserve"> impacts on nearby residences, </w:t>
      </w:r>
      <w:r w:rsidR="00AB79EA" w:rsidRPr="005D1A00">
        <w:t xml:space="preserve">analysis of potential land use conversions, </w:t>
      </w:r>
      <w:r w:rsidRPr="005D1A00">
        <w:t xml:space="preserve">and cumulative </w:t>
      </w:r>
      <w:r w:rsidR="00AB79EA" w:rsidRPr="005D1A00">
        <w:t xml:space="preserve">impact </w:t>
      </w:r>
      <w:r w:rsidRPr="005D1A00">
        <w:t>analyses for these large-scale facilities that have the potential to drastically alter community character</w:t>
      </w:r>
      <w:r w:rsidR="00AB79EA" w:rsidRPr="005D1A00">
        <w:t>, as well as increase the risk of wildland and structur</w:t>
      </w:r>
      <w:r w:rsidR="00D766BF">
        <w:t>al</w:t>
      </w:r>
      <w:r w:rsidR="00AB79EA" w:rsidRPr="005D1A00">
        <w:t xml:space="preserve"> fire</w:t>
      </w:r>
      <w:r w:rsidR="00D766BF">
        <w:t>s</w:t>
      </w:r>
      <w:r w:rsidR="00AB79EA" w:rsidRPr="005D1A00">
        <w:t>, traffic accidents, groundwater</w:t>
      </w:r>
      <w:r w:rsidR="00D766BF">
        <w:t xml:space="preserve"> depletion</w:t>
      </w:r>
      <w:r w:rsidR="00AB79EA" w:rsidRPr="005D1A00">
        <w:t>, difficulty of emergency fire evacuation</w:t>
      </w:r>
      <w:r w:rsidR="00D766BF">
        <w:t xml:space="preserve"> problems</w:t>
      </w:r>
      <w:r w:rsidRPr="005D1A00">
        <w:t>.</w:t>
      </w:r>
    </w:p>
    <w:p w14:paraId="72932FCF" w14:textId="77777777" w:rsidR="00132A8B" w:rsidRPr="005D1A00" w:rsidRDefault="00132A8B"/>
    <w:p w14:paraId="67702C31" w14:textId="01057898" w:rsidR="00763B98" w:rsidRPr="005D1A00" w:rsidRDefault="00763B98" w:rsidP="0041649D">
      <w:r w:rsidRPr="005D1A00">
        <w:t xml:space="preserve">CEQA includes mandatory findings of significance to guide lead agencies in the proper level of CEQA analysis required for individual projects. </w:t>
      </w:r>
      <w:r w:rsidR="00132A8B" w:rsidRPr="005D1A00">
        <w:t>CEQA</w:t>
      </w:r>
      <w:r w:rsidRPr="005D1A00">
        <w:t xml:space="preserve"> Guidelines</w:t>
      </w:r>
      <w:r w:rsidR="00132A8B" w:rsidRPr="005D1A00">
        <w:t xml:space="preserve"> section 15065 (a)(3)</w:t>
      </w:r>
      <w:r w:rsidR="00A81ABB">
        <w:t xml:space="preserve"> and (a)(4)</w:t>
      </w:r>
      <w:r w:rsidR="00132A8B" w:rsidRPr="005D1A00">
        <w:t xml:space="preserve"> state, </w:t>
      </w:r>
      <w:r w:rsidR="00132A8B" w:rsidRPr="005D1A00">
        <w:br/>
      </w:r>
    </w:p>
    <w:p w14:paraId="26B9E4AF" w14:textId="10C074E1" w:rsidR="00132A8B" w:rsidRPr="0041649D" w:rsidRDefault="00132A8B" w:rsidP="0041649D">
      <w:pPr>
        <w:ind w:left="630"/>
        <w:rPr>
          <w:rFonts w:eastAsia="Times New Roman" w:cs="Times New Roman"/>
        </w:rPr>
      </w:pPr>
      <w:r w:rsidRPr="0041649D">
        <w:rPr>
          <w:rFonts w:eastAsia="Times New Roman" w:cs="Times New Roman"/>
        </w:rPr>
        <w:t xml:space="preserve">(a) A lead agency </w:t>
      </w:r>
      <w:r w:rsidRPr="0041649D">
        <w:rPr>
          <w:rFonts w:eastAsia="Times New Roman" w:cs="Times New Roman"/>
          <w:i/>
        </w:rPr>
        <w:t xml:space="preserve">shall find </w:t>
      </w:r>
      <w:r w:rsidRPr="0041649D">
        <w:rPr>
          <w:rFonts w:eastAsia="Times New Roman" w:cs="Times New Roman"/>
        </w:rPr>
        <w:t xml:space="preserve">that a project may have a significant effect on the environment </w:t>
      </w:r>
      <w:r w:rsidRPr="0041649D">
        <w:rPr>
          <w:rFonts w:eastAsia="Times New Roman" w:cs="Times New Roman"/>
          <w:i/>
        </w:rPr>
        <w:t>and thereby require an EIR to be prepared</w:t>
      </w:r>
      <w:r w:rsidRPr="0041649D">
        <w:rPr>
          <w:rFonts w:eastAsia="Times New Roman" w:cs="Times New Roman"/>
        </w:rPr>
        <w:t xml:space="preserve"> for the project where there is substantial evidence, in light of the whole record, that any of the following conditions may occur:</w:t>
      </w:r>
      <w:r w:rsidR="00763B98" w:rsidRPr="0041649D">
        <w:rPr>
          <w:rFonts w:eastAsia="Times New Roman" w:cs="Times New Roman"/>
        </w:rPr>
        <w:t xml:space="preserve"> (emphasis added)</w:t>
      </w:r>
    </w:p>
    <w:p w14:paraId="5948AE6F" w14:textId="77777777" w:rsidR="00132A8B" w:rsidRPr="005D1A00" w:rsidRDefault="00132A8B" w:rsidP="0041649D">
      <w:pPr>
        <w:ind w:left="630"/>
      </w:pPr>
    </w:p>
    <w:p w14:paraId="45C43771" w14:textId="49F01B89" w:rsidR="00132A8B" w:rsidRDefault="00132A8B" w:rsidP="0041649D">
      <w:pPr>
        <w:ind w:left="1350"/>
        <w:rPr>
          <w:rFonts w:eastAsia="Times New Roman" w:cs="Times New Roman"/>
        </w:rPr>
      </w:pPr>
      <w:r w:rsidRPr="0041649D">
        <w:rPr>
          <w:rFonts w:eastAsia="Times New Roman" w:cs="Times New Roman"/>
        </w:rPr>
        <w:t>(3) The project has possible environmental effects that are individually limited but cumulatively considerable. “Cumulatively considerable” means that the incremental effects of an individual project are significant when viewed in connection with the effects of past projects, the effects of other current projects, and the effects of probable future projects.</w:t>
      </w:r>
    </w:p>
    <w:p w14:paraId="1B5D3914" w14:textId="62637F31" w:rsidR="00A81ABB" w:rsidRDefault="00A81ABB" w:rsidP="0041649D">
      <w:pPr>
        <w:ind w:left="1350"/>
        <w:rPr>
          <w:rFonts w:eastAsia="Times New Roman" w:cs="Times New Roman"/>
        </w:rPr>
      </w:pPr>
    </w:p>
    <w:p w14:paraId="2A9025BD" w14:textId="77777777" w:rsidR="00A81ABB" w:rsidRPr="00A81ABB" w:rsidRDefault="00A81ABB" w:rsidP="0041649D">
      <w:pPr>
        <w:ind w:left="1350"/>
        <w:rPr>
          <w:rFonts w:eastAsia="Times New Roman" w:cs="Times New Roman"/>
        </w:rPr>
      </w:pPr>
      <w:r w:rsidRPr="00A81ABB">
        <w:rPr>
          <w:rFonts w:eastAsia="Times New Roman" w:cs="Times New Roman"/>
        </w:rPr>
        <w:lastRenderedPageBreak/>
        <w:t>(4) The environmental effects of a project will cause substantial adverse effects on human beings, either directly or indirectly.</w:t>
      </w:r>
    </w:p>
    <w:p w14:paraId="1E136D38" w14:textId="77777777" w:rsidR="00A81ABB" w:rsidRPr="0041649D" w:rsidRDefault="00A81ABB" w:rsidP="00132A8B">
      <w:pPr>
        <w:ind w:left="630"/>
        <w:rPr>
          <w:rFonts w:eastAsia="Times New Roman" w:cs="Times New Roman"/>
        </w:rPr>
      </w:pPr>
    </w:p>
    <w:p w14:paraId="480445A4" w14:textId="13E51E7E" w:rsidR="005C357C" w:rsidRPr="0041649D" w:rsidRDefault="00132A8B" w:rsidP="00132A8B">
      <w:pPr>
        <w:rPr>
          <w:rFonts w:eastAsia="Times New Roman" w:cs="Times New Roman"/>
        </w:rPr>
      </w:pPr>
      <w:r w:rsidRPr="0041649D">
        <w:rPr>
          <w:rFonts w:eastAsia="Times New Roman" w:cs="Times New Roman"/>
        </w:rPr>
        <w:t xml:space="preserve">We believe that the county’s continued reliance on MNDs </w:t>
      </w:r>
      <w:r w:rsidR="00763B98" w:rsidRPr="0041649D">
        <w:rPr>
          <w:rFonts w:eastAsia="Times New Roman" w:cs="Times New Roman"/>
        </w:rPr>
        <w:t>violates CEQA when it comes to larger tasting rooms and event centers in agricultural areas.</w:t>
      </w:r>
      <w:r w:rsidR="005C357C" w:rsidRPr="0041649D">
        <w:rPr>
          <w:rFonts w:eastAsia="Times New Roman" w:cs="Times New Roman"/>
        </w:rPr>
        <w:t xml:space="preserve"> To properly analyze the traffic</w:t>
      </w:r>
      <w:r w:rsidR="005D1A00">
        <w:rPr>
          <w:rFonts w:eastAsia="Times New Roman" w:cs="Times New Roman"/>
        </w:rPr>
        <w:t xml:space="preserve"> and emergency services</w:t>
      </w:r>
      <w:r w:rsidR="005C357C" w:rsidRPr="0041649D">
        <w:rPr>
          <w:rFonts w:eastAsia="Times New Roman" w:cs="Times New Roman"/>
        </w:rPr>
        <w:t xml:space="preserve"> impacts of Shenandoah Valley projects, for example, requires disclosing current levels of service for key intersections (Highway 16 and Highway 49 intersection, for example)</w:t>
      </w:r>
      <w:r w:rsidR="00A81ABB">
        <w:rPr>
          <w:rFonts w:eastAsia="Times New Roman" w:cs="Times New Roman"/>
        </w:rPr>
        <w:t xml:space="preserve">, </w:t>
      </w:r>
      <w:r w:rsidR="005C357C" w:rsidRPr="0041649D">
        <w:rPr>
          <w:rFonts w:eastAsia="Times New Roman" w:cs="Times New Roman"/>
        </w:rPr>
        <w:t xml:space="preserve">accident reports, </w:t>
      </w:r>
      <w:r w:rsidR="005D1A00">
        <w:rPr>
          <w:rFonts w:eastAsia="Times New Roman" w:cs="Times New Roman"/>
        </w:rPr>
        <w:t xml:space="preserve">and medical aid call numbers, </w:t>
      </w:r>
      <w:r w:rsidR="005C357C" w:rsidRPr="0041649D">
        <w:rPr>
          <w:rFonts w:eastAsia="Times New Roman" w:cs="Times New Roman"/>
        </w:rPr>
        <w:t xml:space="preserve">as well as the potential number of visitors to all wineries in the area on an average day </w:t>
      </w:r>
      <w:r w:rsidR="00A81ABB">
        <w:rPr>
          <w:rFonts w:eastAsia="Times New Roman" w:cs="Times New Roman"/>
        </w:rPr>
        <w:t xml:space="preserve">and on </w:t>
      </w:r>
      <w:r w:rsidR="005C357C" w:rsidRPr="0041649D">
        <w:rPr>
          <w:rFonts w:eastAsia="Times New Roman" w:cs="Times New Roman"/>
        </w:rPr>
        <w:t xml:space="preserve">busy weekends and holidays, taking into account existing commercial uses, existing use permit conditions, and the by-right uses allowed by all wineries in the A zone district. </w:t>
      </w:r>
      <w:r w:rsidR="00A81ABB">
        <w:rPr>
          <w:rFonts w:eastAsia="Times New Roman" w:cs="Times New Roman"/>
        </w:rPr>
        <w:t>The county is not doing this analysis now.</w:t>
      </w:r>
      <w:r w:rsidR="005C357C" w:rsidRPr="0041649D">
        <w:rPr>
          <w:rFonts w:eastAsia="Times New Roman" w:cs="Times New Roman"/>
        </w:rPr>
        <w:t xml:space="preserve"> </w:t>
      </w:r>
    </w:p>
    <w:p w14:paraId="35876584" w14:textId="77777777" w:rsidR="005C357C" w:rsidRPr="0041649D" w:rsidRDefault="005C357C" w:rsidP="00132A8B">
      <w:pPr>
        <w:rPr>
          <w:rFonts w:eastAsia="Times New Roman" w:cs="Times New Roman"/>
        </w:rPr>
      </w:pPr>
    </w:p>
    <w:p w14:paraId="27A134CC" w14:textId="0FE80284" w:rsidR="00132A8B" w:rsidRPr="00D766BF" w:rsidRDefault="005C357C">
      <w:pPr>
        <w:rPr>
          <w:bCs/>
        </w:rPr>
      </w:pPr>
      <w:r w:rsidRPr="0041649D">
        <w:rPr>
          <w:rFonts w:eastAsia="Times New Roman" w:cs="Times New Roman"/>
        </w:rPr>
        <w:t xml:space="preserve">For example, under section </w:t>
      </w:r>
      <w:bookmarkStart w:id="0" w:name="19.24.036"/>
      <w:r w:rsidRPr="0041649D">
        <w:rPr>
          <w:bCs/>
        </w:rPr>
        <w:t>19.24.036</w:t>
      </w:r>
      <w:bookmarkEnd w:id="0"/>
      <w:r w:rsidRPr="0041649D">
        <w:rPr>
          <w:bCs/>
        </w:rPr>
        <w:t xml:space="preserve"> </w:t>
      </w:r>
      <w:r w:rsidRPr="005D1A00">
        <w:rPr>
          <w:bCs/>
        </w:rPr>
        <w:t>“</w:t>
      </w:r>
      <w:r w:rsidRPr="0041649D">
        <w:rPr>
          <w:bCs/>
        </w:rPr>
        <w:t>AG district--Use regulations</w:t>
      </w:r>
      <w:r w:rsidRPr="005D1A00">
        <w:rPr>
          <w:bCs/>
        </w:rPr>
        <w:t xml:space="preserve">,” </w:t>
      </w:r>
      <w:r w:rsidRPr="0041649D">
        <w:rPr>
          <w:rFonts w:eastAsia="Times New Roman" w:cs="Times New Roman"/>
        </w:rPr>
        <w:t xml:space="preserve">every AG zone district winery with an 02 winegrower license is allowed, by right, to </w:t>
      </w:r>
      <w:r w:rsidRPr="005D1A00">
        <w:t>have</w:t>
      </w:r>
    </w:p>
    <w:p w14:paraId="7516BD08" w14:textId="045ECD80" w:rsidR="005C357C" w:rsidRPr="005D1A00" w:rsidRDefault="005C357C"/>
    <w:p w14:paraId="3B8E271D" w14:textId="2EB26B00" w:rsidR="005C357C" w:rsidRPr="0041649D" w:rsidRDefault="005C357C" w:rsidP="0041649D">
      <w:pPr>
        <w:ind w:left="630"/>
        <w:rPr>
          <w:rFonts w:eastAsia="Times New Roman" w:cs="Times New Roman"/>
        </w:rPr>
      </w:pPr>
      <w:r w:rsidRPr="0041649D">
        <w:rPr>
          <w:rFonts w:eastAsia="Times New Roman" w:cs="Times New Roman"/>
        </w:rPr>
        <w:t xml:space="preserve">Compensated or noncompensated events with up to one hundred twenty-five persons in attendance with no limitation on the number of events per year; </w:t>
      </w:r>
    </w:p>
    <w:p w14:paraId="3F51277C" w14:textId="671A28E2" w:rsidR="005C357C" w:rsidRPr="0041649D" w:rsidRDefault="005C357C" w:rsidP="0041649D">
      <w:pPr>
        <w:pStyle w:val="p3"/>
        <w:ind w:left="630"/>
        <w:rPr>
          <w:rFonts w:asciiTheme="minorHAnsi" w:hAnsiTheme="minorHAnsi"/>
        </w:rPr>
      </w:pPr>
      <w:r w:rsidRPr="0041649D">
        <w:rPr>
          <w:rFonts w:asciiTheme="minorHAnsi" w:hAnsiTheme="minorHAnsi"/>
        </w:rPr>
        <w:t>Social gatherings or weddings for up to and including four hundred fifty persons up to and including twelve events per year with no more than four such events per month, and</w:t>
      </w:r>
    </w:p>
    <w:p w14:paraId="27649A7D" w14:textId="60627FAF" w:rsidR="005C357C" w:rsidRPr="005D1A00" w:rsidRDefault="005C357C" w:rsidP="005C357C">
      <w:pPr>
        <w:pStyle w:val="p3"/>
        <w:ind w:left="630"/>
        <w:rPr>
          <w:rFonts w:asciiTheme="minorHAnsi" w:hAnsiTheme="minorHAnsi"/>
        </w:rPr>
      </w:pPr>
      <w:r w:rsidRPr="0041649D">
        <w:rPr>
          <w:rFonts w:asciiTheme="minorHAnsi" w:hAnsiTheme="minorHAnsi"/>
        </w:rPr>
        <w:t>Indoor or outdoor amplified music until ten p.m.</w:t>
      </w:r>
    </w:p>
    <w:p w14:paraId="43FE6910" w14:textId="62FC9DE0" w:rsidR="005C357C" w:rsidRDefault="005C357C" w:rsidP="005D1A00">
      <w:pPr>
        <w:pStyle w:val="p3"/>
        <w:rPr>
          <w:rFonts w:asciiTheme="minorHAnsi" w:hAnsiTheme="minorHAnsi"/>
        </w:rPr>
      </w:pPr>
      <w:r w:rsidRPr="005D1A00">
        <w:rPr>
          <w:rFonts w:asciiTheme="minorHAnsi" w:hAnsiTheme="minorHAnsi"/>
        </w:rPr>
        <w:t xml:space="preserve">The CEQA analyses carried out </w:t>
      </w:r>
      <w:r w:rsidR="005D1A00" w:rsidRPr="005D1A00">
        <w:rPr>
          <w:rFonts w:asciiTheme="minorHAnsi" w:hAnsiTheme="minorHAnsi"/>
        </w:rPr>
        <w:t xml:space="preserve">for </w:t>
      </w:r>
      <w:r w:rsidR="00A81ABB">
        <w:rPr>
          <w:rFonts w:asciiTheme="minorHAnsi" w:hAnsiTheme="minorHAnsi"/>
        </w:rPr>
        <w:t>every larger</w:t>
      </w:r>
      <w:r w:rsidR="005D1A00" w:rsidRPr="005D1A00">
        <w:rPr>
          <w:rFonts w:asciiTheme="minorHAnsi" w:hAnsiTheme="minorHAnsi"/>
        </w:rPr>
        <w:t xml:space="preserve"> project in, affected by, or affecting the Shenandoah Valley need to take these by-right uses into account in a full cumulative impact analysis</w:t>
      </w:r>
      <w:r w:rsidR="005D1A00">
        <w:rPr>
          <w:rFonts w:asciiTheme="minorHAnsi" w:hAnsiTheme="minorHAnsi"/>
        </w:rPr>
        <w:t>.</w:t>
      </w:r>
    </w:p>
    <w:p w14:paraId="631DFFD2" w14:textId="7B7FF7A2" w:rsidR="00A81ABB" w:rsidRDefault="00A81ABB" w:rsidP="00A81ABB">
      <w:r>
        <w:t>In addition, t</w:t>
      </w:r>
      <w:r w:rsidRPr="00087994">
        <w:t>he current review process for evaluating these proposals does not adequately address changes in the intensity of use o</w:t>
      </w:r>
      <w:r w:rsidR="00DE6A00">
        <w:t>n</w:t>
      </w:r>
      <w:r w:rsidRPr="00087994">
        <w:t xml:space="preserve"> particular parcels, nor their effect on adjoining properties.</w:t>
      </w:r>
      <w:r>
        <w:t xml:space="preserve"> </w:t>
      </w:r>
      <w:r w:rsidRPr="00087994">
        <w:t xml:space="preserve">There are 644 parcels in Amador County that are 10 acres or larger, designated AG in the county general plan and zoned R1A. </w:t>
      </w:r>
      <w:r w:rsidR="00DE6A00">
        <w:t>The owners of a</w:t>
      </w:r>
      <w:r w:rsidRPr="00087994">
        <w:t xml:space="preserve">ny of these can grow grapes, produce wine, and </w:t>
      </w:r>
      <w:r w:rsidR="00DE6A00">
        <w:t xml:space="preserve">then </w:t>
      </w:r>
      <w:r w:rsidRPr="00087994">
        <w:t>apply for a Conditional Use Permit for a tasting room with events.</w:t>
      </w:r>
      <w:r w:rsidR="00DE6A00">
        <w:t xml:space="preserve"> Do we really want to keep “rubberstamping” these applications?</w:t>
      </w:r>
    </w:p>
    <w:p w14:paraId="7208B8B0" w14:textId="77777777" w:rsidR="00A81ABB" w:rsidRDefault="00A81ABB" w:rsidP="0041649D"/>
    <w:p w14:paraId="0B593BE1" w14:textId="77777777" w:rsidR="005D1A00" w:rsidRPr="00087994" w:rsidRDefault="005D1A00" w:rsidP="005D1A00">
      <w:r w:rsidRPr="00087994">
        <w:t xml:space="preserve">Section </w:t>
      </w:r>
      <w:bookmarkStart w:id="1" w:name="19.50.020"/>
      <w:r w:rsidRPr="00087994">
        <w:rPr>
          <w:rFonts w:eastAsia="Times New Roman" w:cs="Times New Roman"/>
          <w:bCs/>
        </w:rPr>
        <w:t>19.50.020</w:t>
      </w:r>
      <w:bookmarkEnd w:id="1"/>
      <w:r w:rsidRPr="00087994">
        <w:rPr>
          <w:rFonts w:eastAsia="Times New Roman" w:cs="Times New Roman"/>
          <w:bCs/>
        </w:rPr>
        <w:t xml:space="preserve"> of the County Zoning Code, “Required findings for discretionary approvals in the Agricultural-General general plan land use classification,” states the following: </w:t>
      </w:r>
      <w:r w:rsidRPr="00087994">
        <w:rPr>
          <w:rFonts w:eastAsia="Times New Roman" w:cs="Times New Roman"/>
          <w:bCs/>
        </w:rPr>
        <w:br/>
      </w:r>
    </w:p>
    <w:p w14:paraId="795AE141" w14:textId="77777777" w:rsidR="005D1A00" w:rsidRPr="00087994" w:rsidRDefault="005D1A00" w:rsidP="005D1A00">
      <w:pPr>
        <w:ind w:left="540"/>
      </w:pPr>
      <w:r w:rsidRPr="00087994">
        <w:rPr>
          <w:rFonts w:eastAsia="Times New Roman" w:cs="Times New Roman"/>
        </w:rPr>
        <w:t xml:space="preserve">Approval of any discretionary action that divides a parcel, increases the legal parcel density or intensity, or </w:t>
      </w:r>
      <w:r w:rsidRPr="00087994">
        <w:rPr>
          <w:rFonts w:eastAsia="Times New Roman" w:cs="Times New Roman"/>
          <w:i/>
        </w:rPr>
        <w:t>requires approving a discretionary use permit</w:t>
      </w:r>
      <w:r w:rsidRPr="00087994">
        <w:rPr>
          <w:rFonts w:eastAsia="Times New Roman" w:cs="Times New Roman"/>
        </w:rPr>
        <w:t xml:space="preserve"> in the Agricultural-General (AG) land use classification is subject to the county making all of the following findings concurrent with project approval: </w:t>
      </w:r>
      <w:r w:rsidRPr="00087994">
        <w:rPr>
          <w:rFonts w:eastAsia="Times New Roman" w:cs="Times New Roman"/>
          <w:i/>
        </w:rPr>
        <w:t>(emphasis added)</w:t>
      </w:r>
    </w:p>
    <w:p w14:paraId="2E80757F" w14:textId="77777777" w:rsidR="005D1A00" w:rsidRPr="00087994" w:rsidRDefault="005D1A00" w:rsidP="005D1A00">
      <w:pPr>
        <w:spacing w:before="100" w:beforeAutospacing="1" w:after="100" w:afterAutospacing="1"/>
        <w:ind w:left="540"/>
        <w:rPr>
          <w:rFonts w:eastAsia="Times New Roman" w:cs="Times New Roman"/>
        </w:rPr>
      </w:pPr>
      <w:r w:rsidRPr="00087994">
        <w:rPr>
          <w:rFonts w:eastAsia="Times New Roman" w:cs="Times New Roman"/>
        </w:rPr>
        <w:t>A.    Feasible measures will be implemented to mitigate the project’s significant adverse impacts, if any, on adjoining or nearby agricultural lands and operations.</w:t>
      </w:r>
    </w:p>
    <w:p w14:paraId="3ABBAB49" w14:textId="4C7EDD05" w:rsidR="005D1A00" w:rsidRPr="00087994" w:rsidRDefault="005D1A00" w:rsidP="005D1A00">
      <w:r>
        <w:rPr>
          <w:rFonts w:eastAsia="Times New Roman" w:cs="Times New Roman"/>
        </w:rPr>
        <w:lastRenderedPageBreak/>
        <w:t xml:space="preserve">Without an adequate level of CEQA review, the county cannot make findings of fact based on substantial evidence in the record. </w:t>
      </w:r>
    </w:p>
    <w:p w14:paraId="4C81CFF4" w14:textId="2CF38115" w:rsidR="00132A8B" w:rsidRPr="0041649D" w:rsidRDefault="005D1A00" w:rsidP="0041649D">
      <w:pPr>
        <w:pStyle w:val="p3"/>
        <w:rPr>
          <w:b/>
        </w:rPr>
      </w:pPr>
      <w:r w:rsidRPr="0041649D">
        <w:rPr>
          <w:rFonts w:asciiTheme="minorHAnsi" w:hAnsiTheme="minorHAnsi"/>
          <w:b/>
        </w:rPr>
        <w:t>Notice to nearby property owners not adequate</w:t>
      </w:r>
    </w:p>
    <w:p w14:paraId="582C52BA" w14:textId="5B999B85" w:rsidR="001813BE" w:rsidRPr="005D1A00" w:rsidRDefault="005C357C">
      <w:r w:rsidRPr="005D1A00">
        <w:t xml:space="preserve">In addition, the </w:t>
      </w:r>
      <w:r w:rsidR="00582BD0" w:rsidRPr="005D1A00">
        <w:t xml:space="preserve">standard notice provided to adjacent property owners for small tasting rooms with limited hours and events is </w:t>
      </w:r>
      <w:r w:rsidR="00AB79EA" w:rsidRPr="0041649D">
        <w:rPr>
          <w:i/>
        </w:rPr>
        <w:t>not</w:t>
      </w:r>
      <w:r w:rsidR="00AB79EA" w:rsidRPr="005D1A00">
        <w:t xml:space="preserve"> </w:t>
      </w:r>
      <w:r w:rsidR="00582BD0" w:rsidRPr="005D1A00">
        <w:t xml:space="preserve">sufficient for proposed developments that </w:t>
      </w:r>
      <w:r w:rsidR="00B45BA7">
        <w:t>could</w:t>
      </w:r>
      <w:r w:rsidR="00582BD0" w:rsidRPr="005D1A00">
        <w:t xml:space="preserve"> draw hundreds of people to party </w:t>
      </w:r>
      <w:r w:rsidR="00AB79EA" w:rsidRPr="005D1A00">
        <w:t xml:space="preserve">12 </w:t>
      </w:r>
      <w:r w:rsidR="00582BD0" w:rsidRPr="005D1A00">
        <w:t xml:space="preserve">hours a day every day of the year. </w:t>
      </w:r>
      <w:r w:rsidR="00B45BA7">
        <w:t>T</w:t>
      </w:r>
      <w:r w:rsidR="00582BD0" w:rsidRPr="005D1A00">
        <w:t>hese are not agricultural uses</w:t>
      </w:r>
      <w:r w:rsidR="00AB79EA" w:rsidRPr="005D1A00">
        <w:t xml:space="preserve"> where </w:t>
      </w:r>
      <w:r w:rsidR="00B45BA7">
        <w:t>limited</w:t>
      </w:r>
      <w:r w:rsidR="00AB79EA" w:rsidRPr="005D1A00">
        <w:t xml:space="preserve"> commercial </w:t>
      </w:r>
      <w:r w:rsidR="00B45BA7">
        <w:t>activity is permitted to</w:t>
      </w:r>
      <w:r w:rsidR="00AB79EA" w:rsidRPr="005D1A00">
        <w:t xml:space="preserve"> </w:t>
      </w:r>
      <w:r w:rsidR="00B45BA7">
        <w:t xml:space="preserve">enhance </w:t>
      </w:r>
      <w:r w:rsidR="00AB79EA" w:rsidRPr="005D1A00">
        <w:t xml:space="preserve">agricultural uses and </w:t>
      </w:r>
      <w:r w:rsidR="00B45BA7" w:rsidRPr="005D1A00">
        <w:t xml:space="preserve">supplement </w:t>
      </w:r>
      <w:r w:rsidR="00AB79EA" w:rsidRPr="005D1A00">
        <w:t>agricultural income</w:t>
      </w:r>
      <w:r w:rsidR="00582BD0" w:rsidRPr="005D1A00">
        <w:t xml:space="preserve">. They are </w:t>
      </w:r>
      <w:r w:rsidR="00582BD0" w:rsidRPr="0041649D">
        <w:rPr>
          <w:i/>
        </w:rPr>
        <w:t>commercial uses</w:t>
      </w:r>
      <w:r w:rsidR="001331AC">
        <w:t xml:space="preserve"> as defined in the Amador County Code</w:t>
      </w:r>
      <w:r w:rsidR="00582BD0" w:rsidRPr="005D1A00">
        <w:t>.</w:t>
      </w:r>
    </w:p>
    <w:p w14:paraId="3ED66903" w14:textId="16D41F82" w:rsidR="005D1A00" w:rsidRDefault="005D1A00"/>
    <w:p w14:paraId="5F925B7F" w14:textId="23E095E3" w:rsidR="005D1A00" w:rsidRPr="0041649D" w:rsidRDefault="005D1A00">
      <w:pPr>
        <w:rPr>
          <w:b/>
        </w:rPr>
      </w:pPr>
      <w:r w:rsidRPr="0041649D">
        <w:rPr>
          <w:b/>
        </w:rPr>
        <w:t>Conclusion</w:t>
      </w:r>
    </w:p>
    <w:p w14:paraId="79E2FA21" w14:textId="13A2CDEF" w:rsidR="005D1A00" w:rsidRDefault="005D1A00"/>
    <w:p w14:paraId="67C30CBC" w14:textId="333B0BF5" w:rsidR="005D1A00" w:rsidRPr="005D1A00" w:rsidRDefault="005D1A00">
      <w:r>
        <w:t xml:space="preserve">We urge you to reject the staff recommendations regarding the Blood Gulch </w:t>
      </w:r>
      <w:r w:rsidR="0037017D">
        <w:t>event center.</w:t>
      </w:r>
      <w:r>
        <w:t xml:space="preserve"> </w:t>
      </w:r>
      <w:r w:rsidRPr="00087994">
        <w:t>We urge you</w:t>
      </w:r>
      <w:r>
        <w:t>, instead,</w:t>
      </w:r>
      <w:r w:rsidRPr="00087994">
        <w:t xml:space="preserve"> </w:t>
      </w:r>
      <w:r w:rsidR="00D766BF">
        <w:t xml:space="preserve">to </w:t>
      </w:r>
      <w:r w:rsidRPr="00087994">
        <w:t xml:space="preserve">require full environmental impact reports for </w:t>
      </w:r>
      <w:r>
        <w:t>th</w:t>
      </w:r>
      <w:r w:rsidR="00A323A1">
        <w:t>is</w:t>
      </w:r>
      <w:r>
        <w:t xml:space="preserve"> project</w:t>
      </w:r>
      <w:r w:rsidRPr="00087994">
        <w:t xml:space="preserve"> </w:t>
      </w:r>
      <w:r w:rsidR="00B45BA7">
        <w:t xml:space="preserve">(and similar projects in future) </w:t>
      </w:r>
      <w:r w:rsidRPr="00087994">
        <w:t>to ensure that the full disclosure of the project’</w:t>
      </w:r>
      <w:r w:rsidR="00A323A1">
        <w:t>s</w:t>
      </w:r>
      <w:r w:rsidRPr="00087994">
        <w:t xml:space="preserve"> impacts takes place</w:t>
      </w:r>
      <w:r>
        <w:t xml:space="preserve"> consistent with the requirements of CEQA. Without that full disclosure of impacts, neither you nor the public can make informed judgments as the project’</w:t>
      </w:r>
      <w:r w:rsidR="00A323A1">
        <w:t>s</w:t>
      </w:r>
      <w:r>
        <w:t xml:space="preserve"> merits. </w:t>
      </w:r>
    </w:p>
    <w:p w14:paraId="59EA112D" w14:textId="77777777" w:rsidR="00BE3569" w:rsidRPr="005D1A00" w:rsidRDefault="00BE3569"/>
    <w:p w14:paraId="51A736EE" w14:textId="31A84859" w:rsidR="00BE3569" w:rsidRPr="005D1A00" w:rsidRDefault="00BE3569">
      <w:r w:rsidRPr="005D1A00">
        <w:t xml:space="preserve">The county </w:t>
      </w:r>
      <w:r w:rsidR="008F0399" w:rsidRPr="005D1A00">
        <w:t>need</w:t>
      </w:r>
      <w:r w:rsidRPr="005D1A00">
        <w:t>s</w:t>
      </w:r>
      <w:r w:rsidR="008F0399" w:rsidRPr="005D1A00">
        <w:t xml:space="preserve"> to distinguish between </w:t>
      </w:r>
      <w:r w:rsidRPr="005D1A00">
        <w:t xml:space="preserve">true </w:t>
      </w:r>
      <w:r w:rsidR="008F0399" w:rsidRPr="005D1A00">
        <w:t xml:space="preserve">tasting rooms and </w:t>
      </w:r>
      <w:r w:rsidRPr="005D1A00">
        <w:t>e</w:t>
      </w:r>
      <w:r w:rsidR="008F0399" w:rsidRPr="005D1A00">
        <w:t xml:space="preserve">vent </w:t>
      </w:r>
      <w:r w:rsidRPr="005D1A00">
        <w:t>c</w:t>
      </w:r>
      <w:r w:rsidR="00D766BF">
        <w:t>e</w:t>
      </w:r>
      <w:r w:rsidR="008F0399" w:rsidRPr="005D1A00">
        <w:t>nters masquerading as tasting rooms, and apply more</w:t>
      </w:r>
      <w:r w:rsidRPr="005D1A00">
        <w:t>-</w:t>
      </w:r>
      <w:r w:rsidR="008F0399" w:rsidRPr="005D1A00">
        <w:t xml:space="preserve">intensive impact analysis requirements for the latter. There should be clearer guidance on where these facilities </w:t>
      </w:r>
      <w:r w:rsidR="00B45BA7">
        <w:t>would be</w:t>
      </w:r>
      <w:r w:rsidR="008F0399" w:rsidRPr="005D1A00">
        <w:t xml:space="preserve"> compatible with surrounding uses, and whe</w:t>
      </w:r>
      <w:r w:rsidR="00A323A1">
        <w:t>re</w:t>
      </w:r>
      <w:r w:rsidR="008F0399" w:rsidRPr="005D1A00">
        <w:t xml:space="preserve"> they </w:t>
      </w:r>
      <w:r w:rsidR="00B45BA7">
        <w:t>would</w:t>
      </w:r>
      <w:r w:rsidR="008F0399" w:rsidRPr="005D1A00">
        <w:t xml:space="preserve"> not. </w:t>
      </w:r>
      <w:r w:rsidR="002A4E7F">
        <w:t>Large and active commercial uses</w:t>
      </w:r>
      <w:r w:rsidR="002A4E7F" w:rsidRPr="005D1A00">
        <w:t xml:space="preserve"> </w:t>
      </w:r>
      <w:r w:rsidR="002A4E7F">
        <w:t>should be located on commercially-zoned land—not in areas with R1A zoning meant to promote rural residential use and working farms.</w:t>
      </w:r>
    </w:p>
    <w:p w14:paraId="0775014A" w14:textId="77777777" w:rsidR="00BE3569" w:rsidRPr="005D1A00" w:rsidRDefault="00BE3569"/>
    <w:p w14:paraId="43BF7434" w14:textId="66BACBC6" w:rsidR="008F0399" w:rsidRPr="005D1A00" w:rsidRDefault="005D1A00">
      <w:r>
        <w:t xml:space="preserve">Further, we would urge the county to consider developing a specific plan for the Shenandoah Valley to better account for </w:t>
      </w:r>
      <w:r w:rsidR="00D766BF">
        <w:t xml:space="preserve">unique </w:t>
      </w:r>
      <w:r>
        <w:t xml:space="preserve">local conditions. Such a plan would </w:t>
      </w:r>
      <w:r w:rsidR="008F0399" w:rsidRPr="005D1A00">
        <w:t xml:space="preserve"> help define goals </w:t>
      </w:r>
      <w:r w:rsidR="0043245E">
        <w:t xml:space="preserve">and a vision of </w:t>
      </w:r>
      <w:r w:rsidR="008F0399" w:rsidRPr="005D1A00">
        <w:t xml:space="preserve">what we want </w:t>
      </w:r>
      <w:r>
        <w:t>the valley</w:t>
      </w:r>
      <w:r w:rsidRPr="005D1A00">
        <w:t xml:space="preserve"> </w:t>
      </w:r>
      <w:r w:rsidR="008F0399" w:rsidRPr="005D1A00">
        <w:t>to look like in future</w:t>
      </w:r>
      <w:r>
        <w:t xml:space="preserve"> so that we </w:t>
      </w:r>
      <w:r w:rsidR="00A81ABB">
        <w:t>can avoid it becoming</w:t>
      </w:r>
      <w:r w:rsidR="008F0399" w:rsidRPr="005D1A00">
        <w:t xml:space="preserve"> </w:t>
      </w:r>
      <w:r w:rsidR="002A4E7F">
        <w:t>a</w:t>
      </w:r>
      <w:r w:rsidR="008F0399" w:rsidRPr="005D1A00">
        <w:t xml:space="preserve"> gridlocked Napa Valley that no one</w:t>
      </w:r>
      <w:r w:rsidR="002A4E7F">
        <w:t xml:space="preserve"> wants</w:t>
      </w:r>
      <w:r w:rsidR="008F0399" w:rsidRPr="005D1A00">
        <w:t xml:space="preserve">. </w:t>
      </w:r>
    </w:p>
    <w:p w14:paraId="4365ED81" w14:textId="385534D2" w:rsidR="008F0399" w:rsidRPr="005D1A00" w:rsidRDefault="008F0399"/>
    <w:p w14:paraId="37D836A7" w14:textId="7CB580C0" w:rsidR="008F0399" w:rsidRPr="005D1A00" w:rsidRDefault="008F0399"/>
    <w:p w14:paraId="5A194F04" w14:textId="2C7CE686" w:rsidR="008F0399" w:rsidRDefault="00A81ABB">
      <w:r>
        <w:t xml:space="preserve">Very truly yours, </w:t>
      </w:r>
    </w:p>
    <w:p w14:paraId="2BB784D3" w14:textId="3A6F5890" w:rsidR="00A81ABB" w:rsidRDefault="00A81ABB"/>
    <w:p w14:paraId="5CA551D8" w14:textId="4D41BAE3" w:rsidR="00A81ABB" w:rsidRDefault="00A81ABB"/>
    <w:p w14:paraId="79FA14B3" w14:textId="77777777" w:rsidR="00A81ABB" w:rsidRDefault="00A81ABB"/>
    <w:p w14:paraId="6DAB741F" w14:textId="4809A030" w:rsidR="00A81ABB" w:rsidRPr="005D1A00" w:rsidRDefault="00A81ABB">
      <w:r>
        <w:t>Mara Feeney, M.</w:t>
      </w:r>
      <w:r w:rsidR="0043245E">
        <w:t>A</w:t>
      </w:r>
      <w:r>
        <w:t>. C</w:t>
      </w:r>
      <w:r w:rsidR="0043245E">
        <w:t>ommunit</w:t>
      </w:r>
      <w:r>
        <w:t>y and Regional Planning</w:t>
      </w:r>
      <w:r>
        <w:br/>
        <w:t>Director</w:t>
      </w:r>
      <w:r w:rsidR="00B45BA7">
        <w:t>, Foothill Conservancy</w:t>
      </w:r>
    </w:p>
    <w:p w14:paraId="05728D97" w14:textId="77777777" w:rsidR="008F0399" w:rsidRPr="005D1A00" w:rsidRDefault="008F0399"/>
    <w:p w14:paraId="156FBCB5" w14:textId="56402451" w:rsidR="00825753" w:rsidRDefault="008F0399">
      <w:r w:rsidRPr="005D1A00">
        <w:t>P.S. - Attached is a newsletter article Foothill Conservancy published in 2016 on this same issue.</w:t>
      </w:r>
    </w:p>
    <w:p w14:paraId="75BE15C2" w14:textId="77777777" w:rsidR="00825753" w:rsidRDefault="00825753">
      <w:r>
        <w:br w:type="page"/>
      </w:r>
    </w:p>
    <w:p w14:paraId="294BA686" w14:textId="290C20DB" w:rsidR="008F0399" w:rsidRPr="005D1A00" w:rsidRDefault="00825753">
      <w:r>
        <w:rPr>
          <w:noProof/>
        </w:rPr>
        <w:lastRenderedPageBreak/>
        <w:drawing>
          <wp:inline distT="0" distB="0" distL="0" distR="0" wp14:anchorId="51553DD6" wp14:editId="27DCAFE5">
            <wp:extent cx="5943600" cy="5640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7 at 11.17.11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640705"/>
                    </a:xfrm>
                    <a:prstGeom prst="rect">
                      <a:avLst/>
                    </a:prstGeom>
                  </pic:spPr>
                </pic:pic>
              </a:graphicData>
            </a:graphic>
          </wp:inline>
        </w:drawing>
      </w:r>
      <w:bookmarkStart w:id="2" w:name="_GoBack"/>
      <w:bookmarkEnd w:id="2"/>
    </w:p>
    <w:sectPr w:rsidR="008F0399" w:rsidRPr="005D1A00" w:rsidSect="0041649D">
      <w:headerReference w:type="default" r:id="rId8"/>
      <w:footerReference w:type="defaul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DA209" w14:textId="77777777" w:rsidR="00B47768" w:rsidRDefault="00B47768" w:rsidP="00BD47AB">
      <w:r>
        <w:separator/>
      </w:r>
    </w:p>
  </w:endnote>
  <w:endnote w:type="continuationSeparator" w:id="0">
    <w:p w14:paraId="77AB3C61" w14:textId="77777777" w:rsidR="00B47768" w:rsidRDefault="00B47768" w:rsidP="00BD4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89DCC" w14:textId="77777777" w:rsidR="00A81ABB" w:rsidRDefault="00A81ABB" w:rsidP="00A81ABB">
    <w:pPr>
      <w:pStyle w:val="Footer"/>
      <w:jc w:val="center"/>
    </w:pPr>
    <w:r>
      <w:t>35 Court St, Suite 1    Jackson, CA 95642  209-223-3508   www.foothillconservancy.org</w:t>
    </w:r>
  </w:p>
  <w:p w14:paraId="11F01CDE" w14:textId="77777777" w:rsidR="00A81ABB" w:rsidRPr="00A81ABB" w:rsidRDefault="00A81ABB" w:rsidP="00A81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3142" w14:textId="7E4E419B" w:rsidR="00BE3569" w:rsidRDefault="00BE3569" w:rsidP="0041649D">
    <w:pPr>
      <w:pStyle w:val="Footer"/>
      <w:jc w:val="center"/>
    </w:pPr>
    <w:r>
      <w:t>35 Court St, Suite 1    Jackson, CA 95642  209-223-3508   www.foothillconservancy.org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7DBB8" w14:textId="77777777" w:rsidR="00B47768" w:rsidRDefault="00B47768" w:rsidP="00BD47AB">
      <w:r>
        <w:separator/>
      </w:r>
    </w:p>
  </w:footnote>
  <w:footnote w:type="continuationSeparator" w:id="0">
    <w:p w14:paraId="791F34F5" w14:textId="77777777" w:rsidR="00B47768" w:rsidRDefault="00B47768" w:rsidP="00BD4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9AF9" w14:textId="137F2072" w:rsidR="00A81ABB" w:rsidRDefault="00A81ABB" w:rsidP="0041649D">
    <w:pPr>
      <w:pStyle w:val="Header"/>
      <w:jc w:val="center"/>
    </w:pPr>
    <w:r>
      <w:t>Foothill Conservancy comments on tasting room applications    May, 22,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3F6"/>
    <w:rsid w:val="000C5140"/>
    <w:rsid w:val="00132A8B"/>
    <w:rsid w:val="001331AC"/>
    <w:rsid w:val="00205CE5"/>
    <w:rsid w:val="00285201"/>
    <w:rsid w:val="002A4E7F"/>
    <w:rsid w:val="002E2B83"/>
    <w:rsid w:val="002E5F1A"/>
    <w:rsid w:val="002F00CD"/>
    <w:rsid w:val="00340428"/>
    <w:rsid w:val="0037017D"/>
    <w:rsid w:val="003C1A93"/>
    <w:rsid w:val="003D64F6"/>
    <w:rsid w:val="0041649D"/>
    <w:rsid w:val="0043245E"/>
    <w:rsid w:val="00582BD0"/>
    <w:rsid w:val="005C357C"/>
    <w:rsid w:val="005D1A00"/>
    <w:rsid w:val="005F47EC"/>
    <w:rsid w:val="00644528"/>
    <w:rsid w:val="0066453B"/>
    <w:rsid w:val="006D01F5"/>
    <w:rsid w:val="007260E9"/>
    <w:rsid w:val="00763B98"/>
    <w:rsid w:val="00792985"/>
    <w:rsid w:val="007E40C7"/>
    <w:rsid w:val="007E6E9F"/>
    <w:rsid w:val="008233F6"/>
    <w:rsid w:val="00825753"/>
    <w:rsid w:val="008F0399"/>
    <w:rsid w:val="009077DC"/>
    <w:rsid w:val="0092697E"/>
    <w:rsid w:val="0094200E"/>
    <w:rsid w:val="00953CC4"/>
    <w:rsid w:val="00A256D7"/>
    <w:rsid w:val="00A323A1"/>
    <w:rsid w:val="00A81ABB"/>
    <w:rsid w:val="00AB79EA"/>
    <w:rsid w:val="00AE325D"/>
    <w:rsid w:val="00AF50FC"/>
    <w:rsid w:val="00B45BA7"/>
    <w:rsid w:val="00B47768"/>
    <w:rsid w:val="00BD1F83"/>
    <w:rsid w:val="00BD3380"/>
    <w:rsid w:val="00BD47AB"/>
    <w:rsid w:val="00BE3569"/>
    <w:rsid w:val="00C05BB9"/>
    <w:rsid w:val="00C7289A"/>
    <w:rsid w:val="00C87879"/>
    <w:rsid w:val="00CB029F"/>
    <w:rsid w:val="00CC233F"/>
    <w:rsid w:val="00CF6E6A"/>
    <w:rsid w:val="00D766BF"/>
    <w:rsid w:val="00DD1198"/>
    <w:rsid w:val="00DD692E"/>
    <w:rsid w:val="00DE6A00"/>
    <w:rsid w:val="00DF3CDC"/>
    <w:rsid w:val="00EF4267"/>
    <w:rsid w:val="00F64878"/>
    <w:rsid w:val="00FE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B31D4"/>
  <w14:defaultImageDpi w14:val="32767"/>
  <w15:chartTrackingRefBased/>
  <w15:docId w15:val="{28DFCF58-49C2-4A40-8432-B1D88455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AB79E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7AB"/>
    <w:pPr>
      <w:tabs>
        <w:tab w:val="center" w:pos="4680"/>
        <w:tab w:val="right" w:pos="9360"/>
      </w:tabs>
    </w:pPr>
  </w:style>
  <w:style w:type="character" w:customStyle="1" w:styleId="HeaderChar">
    <w:name w:val="Header Char"/>
    <w:basedOn w:val="DefaultParagraphFont"/>
    <w:link w:val="Header"/>
    <w:uiPriority w:val="99"/>
    <w:rsid w:val="00BD47AB"/>
  </w:style>
  <w:style w:type="paragraph" w:styleId="Footer">
    <w:name w:val="footer"/>
    <w:basedOn w:val="Normal"/>
    <w:link w:val="FooterChar"/>
    <w:uiPriority w:val="99"/>
    <w:unhideWhenUsed/>
    <w:rsid w:val="00BD47AB"/>
    <w:pPr>
      <w:tabs>
        <w:tab w:val="center" w:pos="4680"/>
        <w:tab w:val="right" w:pos="9360"/>
      </w:tabs>
    </w:pPr>
  </w:style>
  <w:style w:type="character" w:customStyle="1" w:styleId="FooterChar">
    <w:name w:val="Footer Char"/>
    <w:basedOn w:val="DefaultParagraphFont"/>
    <w:link w:val="Footer"/>
    <w:uiPriority w:val="99"/>
    <w:rsid w:val="00BD47AB"/>
  </w:style>
  <w:style w:type="character" w:customStyle="1" w:styleId="Heading3Char">
    <w:name w:val="Heading 3 Char"/>
    <w:basedOn w:val="DefaultParagraphFont"/>
    <w:link w:val="Heading3"/>
    <w:uiPriority w:val="9"/>
    <w:rsid w:val="00AB79EA"/>
    <w:rPr>
      <w:rFonts w:ascii="Times New Roman" w:eastAsia="Times New Roman" w:hAnsi="Times New Roman" w:cs="Times New Roman"/>
      <w:b/>
      <w:bCs/>
      <w:sz w:val="27"/>
      <w:szCs w:val="27"/>
    </w:rPr>
  </w:style>
  <w:style w:type="paragraph" w:customStyle="1" w:styleId="p1">
    <w:name w:val="p1"/>
    <w:basedOn w:val="Normal"/>
    <w:rsid w:val="00AB79EA"/>
    <w:pPr>
      <w:spacing w:before="100" w:beforeAutospacing="1" w:after="100" w:afterAutospacing="1"/>
    </w:pPr>
    <w:rPr>
      <w:rFonts w:ascii="Times New Roman" w:eastAsia="Times New Roman" w:hAnsi="Times New Roman" w:cs="Times New Roman"/>
    </w:rPr>
  </w:style>
  <w:style w:type="paragraph" w:customStyle="1" w:styleId="p2">
    <w:name w:val="p2"/>
    <w:basedOn w:val="Normal"/>
    <w:rsid w:val="00AB79EA"/>
    <w:pPr>
      <w:spacing w:before="100" w:beforeAutospacing="1" w:after="100" w:afterAutospacing="1"/>
    </w:pPr>
    <w:rPr>
      <w:rFonts w:ascii="Times New Roman" w:eastAsia="Times New Roman" w:hAnsi="Times New Roman" w:cs="Times New Roman"/>
    </w:rPr>
  </w:style>
  <w:style w:type="paragraph" w:customStyle="1" w:styleId="p3">
    <w:name w:val="p3"/>
    <w:basedOn w:val="Normal"/>
    <w:rsid w:val="005C357C"/>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66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66B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3142">
      <w:bodyDiv w:val="1"/>
      <w:marLeft w:val="0"/>
      <w:marRight w:val="0"/>
      <w:marTop w:val="0"/>
      <w:marBottom w:val="0"/>
      <w:divBdr>
        <w:top w:val="none" w:sz="0" w:space="0" w:color="auto"/>
        <w:left w:val="none" w:sz="0" w:space="0" w:color="auto"/>
        <w:bottom w:val="none" w:sz="0" w:space="0" w:color="auto"/>
        <w:right w:val="none" w:sz="0" w:space="0" w:color="auto"/>
      </w:divBdr>
      <w:divsChild>
        <w:div w:id="1513644983">
          <w:marLeft w:val="0"/>
          <w:marRight w:val="0"/>
          <w:marTop w:val="0"/>
          <w:marBottom w:val="0"/>
          <w:divBdr>
            <w:top w:val="none" w:sz="0" w:space="0" w:color="auto"/>
            <w:left w:val="none" w:sz="0" w:space="0" w:color="auto"/>
            <w:bottom w:val="none" w:sz="0" w:space="0" w:color="auto"/>
            <w:right w:val="none" w:sz="0" w:space="0" w:color="auto"/>
          </w:divBdr>
          <w:divsChild>
            <w:div w:id="2067486385">
              <w:marLeft w:val="0"/>
              <w:marRight w:val="0"/>
              <w:marTop w:val="0"/>
              <w:marBottom w:val="0"/>
              <w:divBdr>
                <w:top w:val="none" w:sz="0" w:space="0" w:color="auto"/>
                <w:left w:val="none" w:sz="0" w:space="0" w:color="auto"/>
                <w:bottom w:val="none" w:sz="0" w:space="0" w:color="auto"/>
                <w:right w:val="none" w:sz="0" w:space="0" w:color="auto"/>
              </w:divBdr>
              <w:divsChild>
                <w:div w:id="10649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4838">
      <w:bodyDiv w:val="1"/>
      <w:marLeft w:val="0"/>
      <w:marRight w:val="0"/>
      <w:marTop w:val="0"/>
      <w:marBottom w:val="0"/>
      <w:divBdr>
        <w:top w:val="none" w:sz="0" w:space="0" w:color="auto"/>
        <w:left w:val="none" w:sz="0" w:space="0" w:color="auto"/>
        <w:bottom w:val="none" w:sz="0" w:space="0" w:color="auto"/>
        <w:right w:val="none" w:sz="0" w:space="0" w:color="auto"/>
      </w:divBdr>
    </w:div>
    <w:div w:id="255408400">
      <w:bodyDiv w:val="1"/>
      <w:marLeft w:val="0"/>
      <w:marRight w:val="0"/>
      <w:marTop w:val="0"/>
      <w:marBottom w:val="0"/>
      <w:divBdr>
        <w:top w:val="none" w:sz="0" w:space="0" w:color="auto"/>
        <w:left w:val="none" w:sz="0" w:space="0" w:color="auto"/>
        <w:bottom w:val="none" w:sz="0" w:space="0" w:color="auto"/>
        <w:right w:val="none" w:sz="0" w:space="0" w:color="auto"/>
      </w:divBdr>
    </w:div>
    <w:div w:id="1592003911">
      <w:bodyDiv w:val="1"/>
      <w:marLeft w:val="0"/>
      <w:marRight w:val="0"/>
      <w:marTop w:val="0"/>
      <w:marBottom w:val="0"/>
      <w:divBdr>
        <w:top w:val="none" w:sz="0" w:space="0" w:color="auto"/>
        <w:left w:val="none" w:sz="0" w:space="0" w:color="auto"/>
        <w:bottom w:val="none" w:sz="0" w:space="0" w:color="auto"/>
        <w:right w:val="none" w:sz="0" w:space="0" w:color="auto"/>
      </w:divBdr>
    </w:div>
    <w:div w:id="1803109139">
      <w:bodyDiv w:val="1"/>
      <w:marLeft w:val="0"/>
      <w:marRight w:val="0"/>
      <w:marTop w:val="0"/>
      <w:marBottom w:val="0"/>
      <w:divBdr>
        <w:top w:val="none" w:sz="0" w:space="0" w:color="auto"/>
        <w:left w:val="none" w:sz="0" w:space="0" w:color="auto"/>
        <w:bottom w:val="none" w:sz="0" w:space="0" w:color="auto"/>
        <w:right w:val="none" w:sz="0" w:space="0" w:color="auto"/>
      </w:divBdr>
      <w:divsChild>
        <w:div w:id="179972008">
          <w:marLeft w:val="0"/>
          <w:marRight w:val="0"/>
          <w:marTop w:val="0"/>
          <w:marBottom w:val="0"/>
          <w:divBdr>
            <w:top w:val="none" w:sz="0" w:space="0" w:color="auto"/>
            <w:left w:val="none" w:sz="0" w:space="0" w:color="auto"/>
            <w:bottom w:val="none" w:sz="0" w:space="0" w:color="auto"/>
            <w:right w:val="none" w:sz="0" w:space="0" w:color="auto"/>
          </w:divBdr>
          <w:divsChild>
            <w:div w:id="1441147974">
              <w:marLeft w:val="0"/>
              <w:marRight w:val="0"/>
              <w:marTop w:val="0"/>
              <w:marBottom w:val="0"/>
              <w:divBdr>
                <w:top w:val="none" w:sz="0" w:space="0" w:color="auto"/>
                <w:left w:val="none" w:sz="0" w:space="0" w:color="auto"/>
                <w:bottom w:val="none" w:sz="0" w:space="0" w:color="auto"/>
                <w:right w:val="none" w:sz="0" w:space="0" w:color="auto"/>
              </w:divBdr>
              <w:divsChild>
                <w:div w:id="8661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3134">
      <w:bodyDiv w:val="1"/>
      <w:marLeft w:val="0"/>
      <w:marRight w:val="0"/>
      <w:marTop w:val="0"/>
      <w:marBottom w:val="0"/>
      <w:divBdr>
        <w:top w:val="none" w:sz="0" w:space="0" w:color="auto"/>
        <w:left w:val="none" w:sz="0" w:space="0" w:color="auto"/>
        <w:bottom w:val="none" w:sz="0" w:space="0" w:color="auto"/>
        <w:right w:val="none" w:sz="0" w:space="0" w:color="auto"/>
      </w:divBdr>
    </w:div>
    <w:div w:id="2066489933">
      <w:bodyDiv w:val="1"/>
      <w:marLeft w:val="0"/>
      <w:marRight w:val="0"/>
      <w:marTop w:val="0"/>
      <w:marBottom w:val="0"/>
      <w:divBdr>
        <w:top w:val="none" w:sz="0" w:space="0" w:color="auto"/>
        <w:left w:val="none" w:sz="0" w:space="0" w:color="auto"/>
        <w:bottom w:val="none" w:sz="0" w:space="0" w:color="auto"/>
        <w:right w:val="none" w:sz="0" w:space="0" w:color="auto"/>
      </w:divBdr>
      <w:divsChild>
        <w:div w:id="1094279832">
          <w:marLeft w:val="0"/>
          <w:marRight w:val="0"/>
          <w:marTop w:val="0"/>
          <w:marBottom w:val="0"/>
          <w:divBdr>
            <w:top w:val="none" w:sz="0" w:space="0" w:color="auto"/>
            <w:left w:val="none" w:sz="0" w:space="0" w:color="auto"/>
            <w:bottom w:val="none" w:sz="0" w:space="0" w:color="auto"/>
            <w:right w:val="none" w:sz="0" w:space="0" w:color="auto"/>
          </w:divBdr>
          <w:divsChild>
            <w:div w:id="2032951408">
              <w:marLeft w:val="0"/>
              <w:marRight w:val="0"/>
              <w:marTop w:val="0"/>
              <w:marBottom w:val="0"/>
              <w:divBdr>
                <w:top w:val="none" w:sz="0" w:space="0" w:color="auto"/>
                <w:left w:val="none" w:sz="0" w:space="0" w:color="auto"/>
                <w:bottom w:val="none" w:sz="0" w:space="0" w:color="auto"/>
                <w:right w:val="none" w:sz="0" w:space="0" w:color="auto"/>
              </w:divBdr>
              <w:divsChild>
                <w:div w:id="386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4808">
      <w:bodyDiv w:val="1"/>
      <w:marLeft w:val="0"/>
      <w:marRight w:val="0"/>
      <w:marTop w:val="0"/>
      <w:marBottom w:val="0"/>
      <w:divBdr>
        <w:top w:val="none" w:sz="0" w:space="0" w:color="auto"/>
        <w:left w:val="none" w:sz="0" w:space="0" w:color="auto"/>
        <w:bottom w:val="none" w:sz="0" w:space="0" w:color="auto"/>
        <w:right w:val="none" w:sz="0" w:space="0" w:color="auto"/>
      </w:divBdr>
    </w:div>
    <w:div w:id="2077893428">
      <w:bodyDiv w:val="1"/>
      <w:marLeft w:val="0"/>
      <w:marRight w:val="0"/>
      <w:marTop w:val="0"/>
      <w:marBottom w:val="0"/>
      <w:divBdr>
        <w:top w:val="none" w:sz="0" w:space="0" w:color="auto"/>
        <w:left w:val="none" w:sz="0" w:space="0" w:color="auto"/>
        <w:bottom w:val="none" w:sz="0" w:space="0" w:color="auto"/>
        <w:right w:val="none" w:sz="0" w:space="0" w:color="auto"/>
      </w:divBdr>
      <w:divsChild>
        <w:div w:id="1941797676">
          <w:marLeft w:val="0"/>
          <w:marRight w:val="0"/>
          <w:marTop w:val="0"/>
          <w:marBottom w:val="0"/>
          <w:divBdr>
            <w:top w:val="none" w:sz="0" w:space="0" w:color="auto"/>
            <w:left w:val="none" w:sz="0" w:space="0" w:color="auto"/>
            <w:bottom w:val="none" w:sz="0" w:space="0" w:color="auto"/>
            <w:right w:val="none" w:sz="0" w:space="0" w:color="auto"/>
          </w:divBdr>
          <w:divsChild>
            <w:div w:id="8056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Feeney</dc:creator>
  <cp:keywords/>
  <dc:description/>
  <cp:lastModifiedBy>Mara Feeney</cp:lastModifiedBy>
  <cp:revision>9</cp:revision>
  <dcterms:created xsi:type="dcterms:W3CDTF">2020-05-25T13:49:00Z</dcterms:created>
  <dcterms:modified xsi:type="dcterms:W3CDTF">2020-05-27T18:46:00Z</dcterms:modified>
</cp:coreProperties>
</file>